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00080"/>
          <w:spacing w:val="0"/>
          <w:sz w:val="27"/>
          <w:szCs w:val="27"/>
          <w:bdr w:val="none" w:color="auto" w:sz="0" w:space="0"/>
        </w:rPr>
        <w:t>新时代中小学教师职业行为十项准则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五、关心爱护学生。严慈相济，诲人不倦，真心关爱学生，严格要求学生，做学生良师益友；不得歧视、侮辱学生，严禁虐待、伤害学生。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六、加强安全防范。增强安全意识，加强安全教育，保护学生安全，防范事故风险；不得在教育教学活动中遇突发事件、面临危险时，不顾学生安危，擅离职守，自行逃离。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七、坚持言行雅正。为人师表，以身作则，举止文明，作风正派，自重自爱；不得与学生发生任何不正当关系，严禁任何形式的猥亵、性骚扰行为。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八、秉持公平诚信。坚持原则，处事公道，光明磊落，为人正直；不得在招生、考试、推优、保送及绩效考核、岗位聘用、职称评聘、评优评奖等工作中徇私舞弊、弄虚作假。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　　十、规范从教行为。勤勉敬业，乐于奉献，自觉抵制不良风气；不得组织、参与有偿补课，或为校外培训机构和他人介绍生源、提供相关信息。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71C6"/>
    <w:rsid w:val="707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2021-12-06T02:10:00Z</dcterms:created>
  <dc:creator>Administrator</dc:creator>
  <cp:lastModifiedBy>Administrator</cp:lastModifiedBy>
  <dcterms:modified xsi:type="dcterms:W3CDTF">2021-12-06T02:11:02Z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7A4A6908E6E64BC2A2C0A2B14449FB5A</vt:lpwstr>
  </property>
</Properties>
</file>